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029F8" w14:textId="77777777" w:rsidR="006D1CE0" w:rsidRDefault="003D1361">
      <w:pPr>
        <w:tabs>
          <w:tab w:val="center" w:pos="4680"/>
          <w:tab w:val="right" w:pos="9360"/>
        </w:tabs>
        <w:spacing w:after="0" w:line="240" w:lineRule="auto"/>
        <w:rPr>
          <w:sz w:val="18"/>
          <w:szCs w:val="18"/>
        </w:rPr>
      </w:pPr>
      <w:bookmarkStart w:id="0" w:name="_heading=h.gjdgxs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67CF390" wp14:editId="4298B082">
            <wp:simplePos x="0" y="0"/>
            <wp:positionH relativeFrom="margin">
              <wp:posOffset>-116976</wp:posOffset>
            </wp:positionH>
            <wp:positionV relativeFrom="margin">
              <wp:posOffset>-725975</wp:posOffset>
            </wp:positionV>
            <wp:extent cx="5943600" cy="820420"/>
            <wp:effectExtent l="0" t="0" r="0" b="0"/>
            <wp:wrapNone/>
            <wp:docPr id="917670435" name="image2.png" descr="A logo with a book and 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logo with a book and text&#10;&#10;Description automatically generated with medium confidence"/>
                    <pic:cNvPicPr preferRelativeResize="0"/>
                  </pic:nvPicPr>
                  <pic:blipFill>
                    <a:blip r:embed="rId5"/>
                    <a:srcRect t="8800" b="2079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0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                                                   </w:t>
      </w:r>
    </w:p>
    <w:p w14:paraId="41A70050" w14:textId="77777777" w:rsidR="006D1CE0" w:rsidRDefault="003D1361">
      <w:pPr>
        <w:tabs>
          <w:tab w:val="center" w:pos="4680"/>
          <w:tab w:val="right" w:pos="9360"/>
        </w:tabs>
        <w:spacing w:after="0" w:line="240" w:lineRule="auto"/>
        <w:rPr>
          <w:sz w:val="18"/>
          <w:szCs w:val="18"/>
        </w:rPr>
      </w:pPr>
      <w:r>
        <w:rPr>
          <w:b/>
          <w:color w:val="171796"/>
          <w:sz w:val="18"/>
          <w:szCs w:val="18"/>
        </w:rPr>
        <w:t>Suite 219, 1496 Bedford Hwy, NS, B4A 1E5</w:t>
      </w:r>
      <w:r>
        <w:rPr>
          <w:b/>
          <w:color w:val="171796"/>
          <w:sz w:val="18"/>
          <w:szCs w:val="18"/>
        </w:rPr>
        <w:tab/>
      </w:r>
      <w:r>
        <w:rPr>
          <w:b/>
          <w:color w:val="171796"/>
          <w:sz w:val="18"/>
          <w:szCs w:val="18"/>
        </w:rPr>
        <w:tab/>
        <w:t>Phone: 902.422.3270 Email: info@elcns.ca</w:t>
      </w:r>
    </w:p>
    <w:p w14:paraId="3EC3C239" w14:textId="77777777" w:rsidR="006D1CE0" w:rsidRDefault="006D1CE0"/>
    <w:p w14:paraId="76FED148" w14:textId="77777777" w:rsidR="006D1CE0" w:rsidRDefault="006D1CE0"/>
    <w:p w14:paraId="28AFA96C" w14:textId="77777777" w:rsidR="006D1CE0" w:rsidRDefault="003D1361">
      <w:pPr>
        <w:jc w:val="center"/>
      </w:pPr>
      <w:r>
        <w:rPr>
          <w:noProof/>
        </w:rPr>
        <w:drawing>
          <wp:inline distT="0" distB="0" distL="0" distR="0" wp14:anchorId="76B832DB" wp14:editId="1383EE47">
            <wp:extent cx="1812135" cy="539874"/>
            <wp:effectExtent l="0" t="0" r="0" b="0"/>
            <wp:docPr id="917670436" name="image1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phical user interface, application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135" cy="5398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036E38" w14:textId="77777777" w:rsidR="006D1CE0" w:rsidRDefault="006D1CE0">
      <w:pPr>
        <w:jc w:val="center"/>
      </w:pPr>
    </w:p>
    <w:p w14:paraId="7CA86050" w14:textId="77777777" w:rsidR="006D1CE0" w:rsidRDefault="003D136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NOVA SCOTIA ASPIRING LEADERS PROGRAM</w:t>
      </w:r>
    </w:p>
    <w:p w14:paraId="6283D492" w14:textId="4ABEC106" w:rsidR="006D1CE0" w:rsidRDefault="003D136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Applications for Cohort </w:t>
      </w:r>
      <w:r w:rsidR="00D60D3C"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</w:rPr>
        <w:t xml:space="preserve"> Beginning August 202</w:t>
      </w:r>
      <w:r w:rsidR="00D60D3C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Now Being Accepted </w:t>
      </w:r>
    </w:p>
    <w:p w14:paraId="767EDA73" w14:textId="77777777" w:rsidR="006D1CE0" w:rsidRDefault="006D1CE0">
      <w:pPr>
        <w:jc w:val="center"/>
        <w:rPr>
          <w:b/>
          <w:sz w:val="24"/>
          <w:szCs w:val="24"/>
          <w:u w:val="single"/>
        </w:rPr>
      </w:pPr>
    </w:p>
    <w:p w14:paraId="7B8F5FD1" w14:textId="77777777" w:rsidR="006D1CE0" w:rsidRDefault="003D13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Program:</w:t>
      </w:r>
    </w:p>
    <w:p w14:paraId="465BC04C" w14:textId="77777777" w:rsidR="006D1CE0" w:rsidRDefault="003D1361">
      <w:pPr>
        <w:rPr>
          <w:sz w:val="24"/>
          <w:szCs w:val="24"/>
        </w:rPr>
      </w:pPr>
      <w:r>
        <w:rPr>
          <w:sz w:val="24"/>
          <w:szCs w:val="24"/>
        </w:rPr>
        <w:t>The Nova Scotia Aspiring Leaders Program (ALP) is a professional learning program for teachers, mentors, and department heads who are interested in becoming effective school principals and vice principals.  The program is offered by the Nova Scoti</w:t>
      </w:r>
      <w:r>
        <w:rPr>
          <w:sz w:val="24"/>
          <w:szCs w:val="24"/>
        </w:rPr>
        <w:t xml:space="preserve">a Department of Education and Early Childhood Development (DEECD) in partnership with the Educational Leadership Consortium of Nova Scotia (ELCNS) and participating regional centres/boards.  </w:t>
      </w:r>
    </w:p>
    <w:p w14:paraId="48ED08B0" w14:textId="77777777" w:rsidR="006D1CE0" w:rsidRDefault="003D1361">
      <w:pPr>
        <w:rPr>
          <w:sz w:val="24"/>
          <w:szCs w:val="24"/>
        </w:rPr>
      </w:pPr>
      <w:r>
        <w:rPr>
          <w:sz w:val="24"/>
          <w:szCs w:val="24"/>
        </w:rPr>
        <w:t xml:space="preserve">ALP extends over 14 months beginning in August and includes two </w:t>
      </w:r>
      <w:r>
        <w:rPr>
          <w:sz w:val="24"/>
          <w:szCs w:val="24"/>
        </w:rPr>
        <w:t>summer institutes and seven Friday-Saturday seminars.  An eight-day residency program with an experienced school principal is integrated throughout the program.  A certificate is granted following an exit assessment and successful completion of all program</w:t>
      </w:r>
      <w:r>
        <w:rPr>
          <w:sz w:val="24"/>
          <w:szCs w:val="24"/>
        </w:rPr>
        <w:t xml:space="preserve"> components.  </w:t>
      </w:r>
    </w:p>
    <w:p w14:paraId="4873230D" w14:textId="77777777" w:rsidR="006D1CE0" w:rsidRDefault="003D1361">
      <w:pPr>
        <w:rPr>
          <w:sz w:val="24"/>
          <w:szCs w:val="24"/>
        </w:rPr>
      </w:pPr>
      <w:r>
        <w:rPr>
          <w:sz w:val="24"/>
          <w:szCs w:val="24"/>
        </w:rPr>
        <w:t xml:space="preserve">The program has been designed to be a balance between knowledge and skills, theory and practice.  Reflection and networking opportunities are incorporated into each seminar and institute.  </w:t>
      </w:r>
    </w:p>
    <w:p w14:paraId="04147EC5" w14:textId="77777777" w:rsidR="006D1CE0" w:rsidRDefault="003D1361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Application Process:</w:t>
      </w:r>
    </w:p>
    <w:p w14:paraId="21500543" w14:textId="77777777" w:rsidR="006D1CE0" w:rsidRDefault="003D1361">
      <w:pPr>
        <w:rPr>
          <w:sz w:val="24"/>
          <w:szCs w:val="24"/>
        </w:rPr>
      </w:pPr>
      <w:r>
        <w:rPr>
          <w:sz w:val="24"/>
          <w:szCs w:val="24"/>
        </w:rPr>
        <w:t>Applications are submitted thr</w:t>
      </w:r>
      <w:r>
        <w:rPr>
          <w:sz w:val="24"/>
          <w:szCs w:val="24"/>
        </w:rPr>
        <w:t>ough each participating region/board.  Applicants must provide three work-related references that include their current supervisor.  Personnel from each region/board will review applications and make selections based on identified criteria.  All applicants</w:t>
      </w:r>
      <w:r>
        <w:rPr>
          <w:sz w:val="24"/>
          <w:szCs w:val="24"/>
        </w:rPr>
        <w:t xml:space="preserve"> will be notified following the selection process.</w:t>
      </w:r>
    </w:p>
    <w:p w14:paraId="15E6AFF0" w14:textId="77777777" w:rsidR="006D1CE0" w:rsidRDefault="003D1361">
      <w:pPr>
        <w:rPr>
          <w:sz w:val="24"/>
          <w:szCs w:val="24"/>
        </w:rPr>
      </w:pPr>
      <w:r>
        <w:rPr>
          <w:sz w:val="24"/>
          <w:szCs w:val="24"/>
        </w:rPr>
        <w:t>Short-listed applicants will be interviewed by personnel from each region/board.  The interview panel will make the final selection of successful candidates.</w:t>
      </w:r>
    </w:p>
    <w:p w14:paraId="4DF8406F" w14:textId="6EB5B61B" w:rsidR="006D1CE0" w:rsidRDefault="003D1361">
      <w:pPr>
        <w:rPr>
          <w:b/>
          <w:sz w:val="24"/>
          <w:szCs w:val="24"/>
        </w:rPr>
      </w:pPr>
      <w:r>
        <w:rPr>
          <w:b/>
          <w:sz w:val="24"/>
          <w:szCs w:val="24"/>
        </w:rPr>
        <w:t>*The deadline for applications for the 202</w:t>
      </w:r>
      <w:r w:rsidR="00D60D3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</w:t>
      </w:r>
      <w:r w:rsidR="00D60D3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Cohort H program is April 2</w:t>
      </w:r>
      <w:r w:rsidR="00D60D3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 202</w:t>
      </w:r>
      <w:r w:rsidR="00D60D3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*</w:t>
      </w:r>
    </w:p>
    <w:p w14:paraId="1746C74F" w14:textId="77777777" w:rsidR="006D1CE0" w:rsidRDefault="003D1361">
      <w:pPr>
        <w:rPr>
          <w:sz w:val="24"/>
          <w:szCs w:val="24"/>
        </w:rPr>
      </w:pPr>
      <w:r>
        <w:rPr>
          <w:sz w:val="24"/>
          <w:szCs w:val="24"/>
        </w:rPr>
        <w:t>For more information about making an application to the ALP, please contact the ALP contact person in your</w:t>
      </w:r>
      <w:bookmarkStart w:id="1" w:name="_GoBack"/>
      <w:bookmarkEnd w:id="1"/>
      <w:r>
        <w:rPr>
          <w:sz w:val="24"/>
          <w:szCs w:val="24"/>
        </w:rPr>
        <w:t xml:space="preserve"> region/board.</w:t>
      </w:r>
    </w:p>
    <w:p w14:paraId="690F60CF" w14:textId="2F2DEE8A" w:rsidR="007508D3" w:rsidRPr="007508D3" w:rsidRDefault="007508D3">
      <w:pPr>
        <w:rPr>
          <w:rFonts w:asciiTheme="minorHAnsi" w:hAnsiTheme="minorHAnsi" w:cs="Arial"/>
          <w:sz w:val="23"/>
          <w:szCs w:val="23"/>
          <w:shd w:val="clear" w:color="auto" w:fill="FFFFFF"/>
        </w:rPr>
      </w:pPr>
      <w:r w:rsidRPr="007508D3">
        <w:rPr>
          <w:rFonts w:asciiTheme="minorHAnsi" w:hAnsiTheme="minorHAnsi" w:cs="Arial"/>
          <w:sz w:val="23"/>
          <w:szCs w:val="23"/>
          <w:shd w:val="clear" w:color="auto" w:fill="FFFFFF"/>
        </w:rPr>
        <w:lastRenderedPageBreak/>
        <w:t>Ryan MacDonald, Coordinator of Programs PP-12 &amp; TCRCE ALP Liaison</w:t>
      </w:r>
      <w:r w:rsidRPr="007508D3">
        <w:rPr>
          <w:rFonts w:asciiTheme="minorHAnsi" w:hAnsiTheme="minorHAnsi" w:cs="Arial"/>
          <w:sz w:val="23"/>
          <w:szCs w:val="23"/>
        </w:rPr>
        <w:br/>
      </w:r>
      <w:hyperlink r:id="rId7" w:history="1">
        <w:r w:rsidRPr="007508D3">
          <w:rPr>
            <w:rStyle w:val="Hyperlink"/>
            <w:rFonts w:asciiTheme="minorHAnsi" w:hAnsiTheme="minorHAnsi" w:cs="Arial"/>
            <w:color w:val="auto"/>
            <w:sz w:val="23"/>
            <w:szCs w:val="23"/>
            <w:shd w:val="clear" w:color="auto" w:fill="FFFFFF"/>
          </w:rPr>
          <w:t>ryan.macdonald@tcrce.ca</w:t>
        </w:r>
      </w:hyperlink>
    </w:p>
    <w:p w14:paraId="184D2D24" w14:textId="69A7E52A" w:rsidR="006D1CE0" w:rsidRDefault="003D1361">
      <w:pPr>
        <w:rPr>
          <w:sz w:val="24"/>
          <w:szCs w:val="24"/>
        </w:rPr>
      </w:pPr>
      <w:r>
        <w:rPr>
          <w:sz w:val="24"/>
          <w:szCs w:val="24"/>
        </w:rPr>
        <w:t xml:space="preserve">You may also contact </w:t>
      </w:r>
      <w:r w:rsidR="00D60D3C">
        <w:rPr>
          <w:sz w:val="24"/>
          <w:szCs w:val="24"/>
        </w:rPr>
        <w:t>Gord</w:t>
      </w:r>
      <w:r w:rsidR="00236511">
        <w:rPr>
          <w:sz w:val="24"/>
          <w:szCs w:val="24"/>
        </w:rPr>
        <w:t>on</w:t>
      </w:r>
      <w:r w:rsidR="00D60D3C">
        <w:rPr>
          <w:sz w:val="24"/>
          <w:szCs w:val="24"/>
        </w:rPr>
        <w:t xml:space="preserve"> Walters</w:t>
      </w:r>
      <w:r>
        <w:rPr>
          <w:sz w:val="24"/>
          <w:szCs w:val="24"/>
        </w:rPr>
        <w:t xml:space="preserve">, ALP Coordinator, at </w:t>
      </w:r>
      <w:r w:rsidR="00D60D3C">
        <w:rPr>
          <w:color w:val="0563C1"/>
          <w:sz w:val="24"/>
          <w:szCs w:val="24"/>
          <w:u w:val="single"/>
        </w:rPr>
        <w:t>gwalters</w:t>
      </w:r>
      <w:r>
        <w:rPr>
          <w:color w:val="0563C1"/>
          <w:sz w:val="24"/>
          <w:szCs w:val="24"/>
          <w:u w:val="single"/>
        </w:rPr>
        <w:t xml:space="preserve">@elcns.ca </w:t>
      </w:r>
      <w:r>
        <w:rPr>
          <w:color w:val="000000"/>
          <w:sz w:val="24"/>
          <w:szCs w:val="24"/>
        </w:rPr>
        <w:t>for more information/questions about the program.</w:t>
      </w:r>
    </w:p>
    <w:p w14:paraId="63C98EED" w14:textId="77777777" w:rsidR="006D1CE0" w:rsidRDefault="006D1CE0">
      <w:pPr>
        <w:rPr>
          <w:sz w:val="24"/>
          <w:szCs w:val="24"/>
        </w:rPr>
      </w:pPr>
    </w:p>
    <w:sectPr w:rsidR="006D1CE0"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CE0"/>
    <w:rsid w:val="001B2F95"/>
    <w:rsid w:val="00236511"/>
    <w:rsid w:val="003D1361"/>
    <w:rsid w:val="006D1CE0"/>
    <w:rsid w:val="007508D3"/>
    <w:rsid w:val="009F40C0"/>
    <w:rsid w:val="00D6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2FAF"/>
  <w15:docId w15:val="{56E5B092-F47B-674D-A2E7-D1075BDE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002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7DA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9C17DA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278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7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63E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8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E34"/>
  </w:style>
  <w:style w:type="paragraph" w:styleId="Footer">
    <w:name w:val="footer"/>
    <w:basedOn w:val="Normal"/>
    <w:link w:val="FooterChar"/>
    <w:uiPriority w:val="99"/>
    <w:unhideWhenUsed/>
    <w:rsid w:val="00C8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E34"/>
  </w:style>
  <w:style w:type="character" w:styleId="FollowedHyperlink">
    <w:name w:val="FollowedHyperlink"/>
    <w:basedOn w:val="DefaultParagraphFont"/>
    <w:uiPriority w:val="99"/>
    <w:semiHidden/>
    <w:unhideWhenUsed/>
    <w:rsid w:val="00C86E3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an.macdonald@tcrc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fodeVlJ7LUrH1n/i/HoNqUwi/A==">CgMxLjAyCGguZ2pkZ3hzOAByITFtVHNvV0NhYTgyX2djOXB3dGVZQkhzOTJVdzBYX1BqWg==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</dc:creator>
  <cp:lastModifiedBy>Ashley Gallant</cp:lastModifiedBy>
  <cp:revision>2</cp:revision>
  <dcterms:created xsi:type="dcterms:W3CDTF">2025-03-10T17:30:00Z</dcterms:created>
  <dcterms:modified xsi:type="dcterms:W3CDTF">2025-03-10T17:30:00Z</dcterms:modified>
</cp:coreProperties>
</file>